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2A5" w:rsidRDefault="003032A5" w:rsidP="00066F5F">
      <w:pPr>
        <w:ind w:left="142" w:firstLine="1985"/>
        <w:rPr>
          <w:rFonts w:ascii="HelveticaNeueLT Pro 55 Roman" w:hAnsi="HelveticaNeueLT Pro 55 Roman" w:cs="Times New Roman"/>
          <w:b/>
          <w:sz w:val="24"/>
          <w:szCs w:val="24"/>
        </w:rPr>
      </w:pPr>
      <w:r>
        <w:rPr>
          <w:rFonts w:ascii="HelveticaNeueLT Pro 55 Roman" w:hAnsi="HelveticaNeueLT Pro 55 Roman" w:cs="Times New Roman"/>
          <w:b/>
          <w:sz w:val="24"/>
          <w:szCs w:val="24"/>
        </w:rPr>
        <w:t xml:space="preserve">TISKOVÁ ZPRÁVA, </w:t>
      </w:r>
      <w:r w:rsidR="00BE5CA4">
        <w:rPr>
          <w:rFonts w:ascii="HelveticaNeueLT Pro 55 Roman" w:hAnsi="HelveticaNeueLT Pro 55 Roman" w:cs="Times New Roman"/>
          <w:b/>
          <w:sz w:val="24"/>
          <w:szCs w:val="24"/>
        </w:rPr>
        <w:t>26</w:t>
      </w:r>
      <w:r>
        <w:rPr>
          <w:rFonts w:ascii="HelveticaNeueLT Pro 55 Roman" w:hAnsi="HelveticaNeueLT Pro 55 Roman" w:cs="Times New Roman"/>
          <w:b/>
          <w:sz w:val="24"/>
          <w:szCs w:val="24"/>
        </w:rPr>
        <w:t xml:space="preserve">. </w:t>
      </w:r>
      <w:r w:rsidR="00BE5CA4">
        <w:rPr>
          <w:rFonts w:ascii="HelveticaNeueLT Pro 55 Roman" w:hAnsi="HelveticaNeueLT Pro 55 Roman" w:cs="Times New Roman"/>
          <w:b/>
          <w:sz w:val="24"/>
          <w:szCs w:val="24"/>
        </w:rPr>
        <w:t>února</w:t>
      </w:r>
    </w:p>
    <w:p w:rsidR="003032A5" w:rsidRDefault="003032A5" w:rsidP="00066F5F">
      <w:pPr>
        <w:ind w:left="142" w:firstLine="1985"/>
        <w:rPr>
          <w:rFonts w:ascii="HelveticaNeueLT Pro 55 Roman" w:hAnsi="HelveticaNeueLT Pro 55 Roman" w:cs="Times New Roman"/>
          <w:b/>
          <w:sz w:val="24"/>
          <w:szCs w:val="24"/>
        </w:rPr>
      </w:pPr>
    </w:p>
    <w:p w:rsidR="00CF10BE" w:rsidRDefault="00BE5CA4" w:rsidP="00EA444A">
      <w:pPr>
        <w:spacing w:line="360" w:lineRule="auto"/>
        <w:ind w:left="2127"/>
        <w:rPr>
          <w:rFonts w:ascii="HelveticaNeueLT Pro 55 Roman" w:hAnsi="HelveticaNeueLT Pro 55 Roman" w:cs="Times New Roman"/>
          <w:b/>
          <w:sz w:val="24"/>
          <w:szCs w:val="24"/>
        </w:rPr>
      </w:pPr>
      <w:r>
        <w:rPr>
          <w:rFonts w:ascii="HelveticaNeueLT Pro 55 Roman" w:hAnsi="HelveticaNeueLT Pro 55 Roman" w:cs="Times New Roman"/>
          <w:b/>
          <w:sz w:val="24"/>
          <w:szCs w:val="24"/>
        </w:rPr>
        <w:t>Vyjádření KCP ke článku v Lidových novinách ze dne 22. 2. 2018</w:t>
      </w:r>
    </w:p>
    <w:p w:rsidR="003A03E0" w:rsidRPr="004D1578" w:rsidRDefault="003A03E0" w:rsidP="00EA444A">
      <w:pPr>
        <w:spacing w:line="360" w:lineRule="auto"/>
        <w:ind w:left="2127" w:firstLine="1985"/>
        <w:rPr>
          <w:rFonts w:ascii="HelveticaNeueLT Pro 55 Roman" w:hAnsi="HelveticaNeueLT Pro 55 Roman" w:cs="Times New Roman"/>
          <w:b/>
          <w:sz w:val="24"/>
          <w:szCs w:val="24"/>
        </w:rPr>
      </w:pPr>
    </w:p>
    <w:p w:rsidR="00EA444A" w:rsidRPr="00BE5CA4" w:rsidRDefault="00BE5CA4" w:rsidP="00546C85">
      <w:pPr>
        <w:spacing w:line="360" w:lineRule="auto"/>
        <w:ind w:left="2124"/>
        <w:jc w:val="both"/>
        <w:rPr>
          <w:rFonts w:ascii="Helvetica" w:hAnsi="Helvetica" w:cs="Helvetica"/>
          <w:b/>
          <w:sz w:val="24"/>
          <w:szCs w:val="24"/>
        </w:rPr>
      </w:pPr>
      <w:r w:rsidRPr="00BE5CA4">
        <w:rPr>
          <w:rFonts w:ascii="Helvetica" w:hAnsi="Helvetica" w:cs="Helvetica"/>
          <w:b/>
          <w:sz w:val="24"/>
          <w:szCs w:val="24"/>
        </w:rPr>
        <w:t xml:space="preserve">Dne 22. 2. 2018 </w:t>
      </w:r>
      <w:r w:rsidRPr="00BE5CA4">
        <w:rPr>
          <w:rFonts w:ascii="Helvetica" w:hAnsi="Helvetica"/>
          <w:b/>
          <w:sz w:val="24"/>
          <w:szCs w:val="24"/>
        </w:rPr>
        <w:t xml:space="preserve">Lidové noviny otiskly článek s názvem </w:t>
      </w:r>
      <w:r w:rsidRPr="00BE5CA4">
        <w:rPr>
          <w:rFonts w:ascii="Helvetica" w:hAnsi="Helvetica"/>
          <w:b/>
          <w:color w:val="000000" w:themeColor="text1"/>
          <w:sz w:val="24"/>
          <w:szCs w:val="24"/>
        </w:rPr>
        <w:t>„‚</w:t>
      </w:r>
      <w:hyperlink r:id="rId7" w:tgtFrame="_blank" w:history="1">
        <w:r w:rsidRPr="00BE5CA4">
          <w:rPr>
            <w:rStyle w:val="Hypertextovodkaz"/>
            <w:rFonts w:ascii="Helvetica" w:hAnsi="Helvetica"/>
            <w:b/>
            <w:color w:val="000000" w:themeColor="text1"/>
            <w:sz w:val="24"/>
            <w:szCs w:val="24"/>
            <w:u w:val="none"/>
          </w:rPr>
          <w:t>Nerealizovatelné‘. Návrh nové budovy Kongresového centra vede přes pozemky, o které roky probíhá soud</w:t>
        </w:r>
      </w:hyperlink>
      <w:r w:rsidRPr="00BE5CA4">
        <w:rPr>
          <w:rFonts w:ascii="Helvetica" w:hAnsi="Helvetica"/>
          <w:b/>
          <w:color w:val="000000" w:themeColor="text1"/>
          <w:sz w:val="24"/>
          <w:szCs w:val="24"/>
        </w:rPr>
        <w:t xml:space="preserve">“. </w:t>
      </w:r>
      <w:r w:rsidRPr="00BE5CA4">
        <w:rPr>
          <w:rFonts w:ascii="Helvetica" w:hAnsi="Helvetica"/>
          <w:b/>
          <w:sz w:val="24"/>
          <w:szCs w:val="24"/>
        </w:rPr>
        <w:t>Kongresové centrum Praha považuje tento výrok za zcela zavádějící</w:t>
      </w:r>
      <w:r w:rsidR="00C022A2">
        <w:rPr>
          <w:rFonts w:ascii="Helvetica" w:hAnsi="Helvetica"/>
          <w:b/>
          <w:sz w:val="24"/>
          <w:szCs w:val="24"/>
        </w:rPr>
        <w:t>!</w:t>
      </w:r>
    </w:p>
    <w:p w:rsidR="00CF10BE" w:rsidRPr="005B1638" w:rsidRDefault="00CF10BE" w:rsidP="00066F5F">
      <w:pPr>
        <w:spacing w:line="360" w:lineRule="auto"/>
        <w:ind w:left="2127" w:firstLine="1985"/>
        <w:jc w:val="both"/>
        <w:rPr>
          <w:rFonts w:ascii="HelveticaNeueLT Pro 55 Roman" w:hAnsi="HelveticaNeueLT Pro 55 Roman" w:cs="Times New Roman"/>
          <w:b/>
          <w:sz w:val="24"/>
          <w:szCs w:val="24"/>
        </w:rPr>
      </w:pPr>
    </w:p>
    <w:p w:rsidR="00546C85" w:rsidRPr="00BE5CA4" w:rsidRDefault="00BE5CA4" w:rsidP="00546C85">
      <w:pPr>
        <w:spacing w:line="360" w:lineRule="auto"/>
        <w:ind w:left="2124"/>
        <w:jc w:val="both"/>
        <w:rPr>
          <w:rFonts w:ascii="Helvetica" w:hAnsi="Helvetica" w:cs="Helvetica"/>
          <w:sz w:val="24"/>
          <w:szCs w:val="24"/>
        </w:rPr>
      </w:pPr>
      <w:r w:rsidRPr="00BE5CA4">
        <w:rPr>
          <w:rFonts w:ascii="Helvetica" w:hAnsi="Helvetica"/>
          <w:sz w:val="24"/>
          <w:szCs w:val="24"/>
        </w:rPr>
        <w:t>Kongresové centrum Praha a.s. se ohrazuje proti názvu článku Lidových novin a vyjádření zastupitele TOP 09 p. Novotného, které mohou zavádět k závěru, že výstavba nové haly je nerealizovatelný projekt</w:t>
      </w:r>
      <w:r w:rsidR="00180A89" w:rsidRPr="00BE5CA4">
        <w:rPr>
          <w:rFonts w:ascii="Helvetica" w:hAnsi="Helvetica" w:cs="Helvetica"/>
          <w:sz w:val="24"/>
          <w:szCs w:val="24"/>
        </w:rPr>
        <w:t>.</w:t>
      </w:r>
    </w:p>
    <w:p w:rsidR="00677A9A" w:rsidRDefault="00677A9A" w:rsidP="00546C85">
      <w:pPr>
        <w:spacing w:line="360" w:lineRule="auto"/>
        <w:ind w:left="2124"/>
        <w:jc w:val="both"/>
        <w:rPr>
          <w:rFonts w:ascii="Helvetica" w:hAnsi="Helvetica" w:cs="Helvetica"/>
          <w:sz w:val="24"/>
          <w:szCs w:val="24"/>
        </w:rPr>
      </w:pPr>
    </w:p>
    <w:p w:rsidR="00677A9A" w:rsidRPr="00BE5CA4" w:rsidRDefault="00BE5CA4" w:rsidP="00546C85">
      <w:pPr>
        <w:spacing w:line="360" w:lineRule="auto"/>
        <w:ind w:left="2124"/>
        <w:jc w:val="both"/>
        <w:rPr>
          <w:rFonts w:ascii="Helvetica" w:hAnsi="Helvetica" w:cs="Helvetica"/>
          <w:sz w:val="24"/>
          <w:szCs w:val="24"/>
        </w:rPr>
      </w:pPr>
      <w:r w:rsidRPr="00BE5CA4">
        <w:rPr>
          <w:rFonts w:ascii="Helvetica" w:hAnsi="Helvetica" w:cs="Helvetica"/>
          <w:sz w:val="24"/>
          <w:szCs w:val="24"/>
        </w:rPr>
        <w:t xml:space="preserve">Kongresové centrum Praha a.s. přistoupilo </w:t>
      </w:r>
      <w:r w:rsidRPr="00BE5CA4">
        <w:rPr>
          <w:rFonts w:ascii="Helvetica" w:hAnsi="Helvetica"/>
          <w:sz w:val="24"/>
          <w:szCs w:val="24"/>
        </w:rPr>
        <w:t xml:space="preserve">ve spolupráci s Hlavním městem Prahou k vyhlášení mezinárodní architektonicko-urbanistické soutěže Nové KCP, ve které zvítězil návrh španělského studia OCA. Předmětem soutěže byla výstavba nové výstavní haly pro Kongresové centrum Praha a.s. (KCP) a s ní spojené komplexní řešení okolního prostranství. K projektu výstavby nové haly bylo přistoupeno z důvodu nedostatečné výstavní plochy zejména pro velké mezinárodní </w:t>
      </w:r>
      <w:r w:rsidRPr="00BE5CA4">
        <w:rPr>
          <w:rFonts w:ascii="Helvetica" w:hAnsi="Helvetica"/>
          <w:sz w:val="24"/>
          <w:szCs w:val="24"/>
        </w:rPr>
        <w:lastRenderedPageBreak/>
        <w:t>lékařské, vědecké a technologické kongresy, které KCP generují největší tržby.</w:t>
      </w:r>
    </w:p>
    <w:p w:rsidR="0064175C" w:rsidRDefault="0064175C" w:rsidP="00546C85">
      <w:pPr>
        <w:spacing w:line="360" w:lineRule="auto"/>
        <w:ind w:left="2124"/>
        <w:jc w:val="both"/>
        <w:rPr>
          <w:rFonts w:ascii="Helvetica" w:hAnsi="Helvetica" w:cs="Helvetica"/>
          <w:sz w:val="24"/>
          <w:szCs w:val="24"/>
        </w:rPr>
      </w:pPr>
    </w:p>
    <w:p w:rsidR="00546C85" w:rsidRPr="00546C85" w:rsidRDefault="00BE5CA4" w:rsidP="00BE5CA4">
      <w:pPr>
        <w:spacing w:line="360" w:lineRule="auto"/>
        <w:ind w:left="2124"/>
        <w:jc w:val="both"/>
        <w:rPr>
          <w:rFonts w:ascii="Helvetica" w:hAnsi="Helvetica" w:cs="Helvetica"/>
          <w:sz w:val="24"/>
          <w:szCs w:val="24"/>
        </w:rPr>
      </w:pPr>
      <w:r>
        <w:rPr>
          <w:rFonts w:ascii="Helvetica" w:hAnsi="Helvetica" w:cs="Helvetica"/>
          <w:sz w:val="24"/>
          <w:szCs w:val="24"/>
        </w:rPr>
        <w:t xml:space="preserve">V soutěžních </w:t>
      </w:r>
      <w:r w:rsidRPr="00BE5CA4">
        <w:rPr>
          <w:rFonts w:ascii="Helvetica" w:hAnsi="Helvetica" w:cs="Helvetica"/>
          <w:sz w:val="24"/>
          <w:szCs w:val="24"/>
        </w:rPr>
        <w:t xml:space="preserve">podkladech </w:t>
      </w:r>
      <w:r w:rsidRPr="00BE5CA4">
        <w:rPr>
          <w:rFonts w:ascii="Helvetica" w:eastAsia="Times New Roman" w:hAnsi="Helvetica"/>
          <w:sz w:val="24"/>
          <w:szCs w:val="24"/>
        </w:rPr>
        <w:t xml:space="preserve">byly uvedeny majetkové poměry jako podklad v zadání v území a zmiňované pozemky bylo možné zahrnout do řešeného území. </w:t>
      </w:r>
      <w:r w:rsidRPr="00BE5CA4">
        <w:rPr>
          <w:rFonts w:ascii="Helvetica" w:hAnsi="Helvetica"/>
          <w:sz w:val="24"/>
          <w:szCs w:val="24"/>
        </w:rPr>
        <w:t xml:space="preserve">Primárním cílem bylo získat návrh, který bude vhodným způsobem doplňovat současnou budovu KCP. Mezinárodní soutěže se zúčastnilo 76 uchazečů, členy poroty soutěže byli kromě primátorky Adriana Krnáčové uznávaní domácí architekti Petr Hlaváček, Ivan Kroupa, Tomáš Koumar, Marek </w:t>
      </w:r>
      <w:proofErr w:type="spellStart"/>
      <w:r w:rsidRPr="00BE5CA4">
        <w:rPr>
          <w:rFonts w:ascii="Helvetica" w:hAnsi="Helvetica"/>
          <w:sz w:val="24"/>
          <w:szCs w:val="24"/>
        </w:rPr>
        <w:t>Kopeć</w:t>
      </w:r>
      <w:proofErr w:type="spellEnd"/>
      <w:r w:rsidRPr="00BE5CA4">
        <w:rPr>
          <w:rFonts w:ascii="Helvetica" w:hAnsi="Helvetica"/>
          <w:sz w:val="24"/>
          <w:szCs w:val="24"/>
        </w:rPr>
        <w:t xml:space="preserve"> a z IPR Praha architektka Viktorie Součková.  </w:t>
      </w:r>
      <w:r w:rsidR="0048545B">
        <w:rPr>
          <w:rFonts w:ascii="Helvetica" w:hAnsi="Helvetica"/>
          <w:sz w:val="24"/>
          <w:szCs w:val="24"/>
        </w:rPr>
        <w:br/>
      </w:r>
      <w:r w:rsidRPr="00BE5CA4">
        <w:rPr>
          <w:rFonts w:ascii="Helvetica" w:hAnsi="Helvetica"/>
          <w:sz w:val="24"/>
          <w:szCs w:val="24"/>
        </w:rPr>
        <w:t xml:space="preserve">Ze zahraničí se účastnili architekti Mathias Müller z kanceláře EM2N a pedagog na předních světových architektonický školách Elia </w:t>
      </w:r>
      <w:proofErr w:type="spellStart"/>
      <w:r w:rsidRPr="00BE5CA4">
        <w:rPr>
          <w:rFonts w:ascii="Helvetica" w:hAnsi="Helvetica"/>
          <w:sz w:val="24"/>
          <w:szCs w:val="24"/>
        </w:rPr>
        <w:t>Zenghelis</w:t>
      </w:r>
      <w:proofErr w:type="spellEnd"/>
      <w:r w:rsidRPr="00BE5CA4">
        <w:rPr>
          <w:rFonts w:ascii="Helvetica" w:hAnsi="Helvetica"/>
          <w:sz w:val="24"/>
          <w:szCs w:val="24"/>
        </w:rPr>
        <w:t>, původem z Řecka, který spoluzakládal světově známou kancelář OMA. Porota v rámci soutěžních podmínek nakonec zvolila návrh OCA, který právě nejlépe komplexně řešil prostranství KCP a jeho okolí, s tím, že samotný návrh haly bude případně v navazujícím řízení přizpůsoben všem konkrétním okolnostem, jak i potvrdila primátorka Adriana Krnáčová.</w:t>
      </w:r>
    </w:p>
    <w:p w:rsidR="00546C85" w:rsidRPr="00546C85" w:rsidRDefault="00546C85" w:rsidP="00546C85">
      <w:pPr>
        <w:spacing w:line="360" w:lineRule="auto"/>
        <w:jc w:val="both"/>
        <w:rPr>
          <w:rFonts w:ascii="Helvetica" w:hAnsi="Helvetica" w:cs="Helvetica"/>
          <w:sz w:val="24"/>
          <w:szCs w:val="24"/>
        </w:rPr>
      </w:pPr>
    </w:p>
    <w:p w:rsidR="00546C85" w:rsidRPr="00BE5CA4" w:rsidRDefault="00BE5CA4" w:rsidP="00546C85">
      <w:pPr>
        <w:spacing w:line="360" w:lineRule="auto"/>
        <w:ind w:left="2124"/>
        <w:jc w:val="both"/>
        <w:rPr>
          <w:rFonts w:ascii="Helvetica" w:hAnsi="Helvetica" w:cs="Helvetica"/>
          <w:sz w:val="24"/>
          <w:szCs w:val="24"/>
        </w:rPr>
      </w:pPr>
      <w:r w:rsidRPr="00BE5CA4">
        <w:rPr>
          <w:rFonts w:ascii="Helvetica" w:hAnsi="Helvetica" w:cs="Helvetica"/>
          <w:sz w:val="24"/>
          <w:szCs w:val="24"/>
        </w:rPr>
        <w:t>Samotný</w:t>
      </w:r>
      <w:r w:rsidR="00546C85" w:rsidRPr="00BE5CA4">
        <w:rPr>
          <w:rFonts w:ascii="Helvetica" w:hAnsi="Helvetica" w:cs="Helvetica"/>
          <w:sz w:val="24"/>
          <w:szCs w:val="24"/>
        </w:rPr>
        <w:t xml:space="preserve"> </w:t>
      </w:r>
      <w:r w:rsidRPr="00BE5CA4">
        <w:rPr>
          <w:rFonts w:ascii="Helvetica" w:hAnsi="Helvetica"/>
          <w:sz w:val="24"/>
          <w:szCs w:val="24"/>
        </w:rPr>
        <w:t xml:space="preserve">projekt se v současnosti nachází v rané fázi přípravy. Dokončují se administrativní kroky související s ukončením soutěže a následně budou zahájeny práce na projektové dokumentaci. První část bude dopracování studie vítězného </w:t>
      </w:r>
      <w:r w:rsidRPr="00BE5CA4">
        <w:rPr>
          <w:rFonts w:ascii="Helvetica" w:hAnsi="Helvetica"/>
          <w:sz w:val="24"/>
          <w:szCs w:val="24"/>
        </w:rPr>
        <w:lastRenderedPageBreak/>
        <w:t xml:space="preserve">návrhu doplněné o aktualizované zadání spolu s vyřešením všech technických a majetkových poměrů. Kongresové centrum Praha i nadále předpokládá, že bude možné započít stavební práce do 3 let. </w:t>
      </w:r>
    </w:p>
    <w:p w:rsidR="000A5D93" w:rsidRPr="00546C85" w:rsidRDefault="000A5D93" w:rsidP="00BE5CA4">
      <w:pPr>
        <w:spacing w:line="360" w:lineRule="auto"/>
        <w:jc w:val="both"/>
        <w:rPr>
          <w:rFonts w:ascii="HelveticaNeueLT Pro 35 Th" w:hAnsi="HelveticaNeueLT Pro 35 Th" w:cs="Times New Roman"/>
          <w:sz w:val="24"/>
          <w:szCs w:val="24"/>
        </w:rPr>
      </w:pPr>
    </w:p>
    <w:p w:rsidR="00CF10BE" w:rsidRDefault="00CF10BE" w:rsidP="00066F5F">
      <w:pPr>
        <w:spacing w:line="360" w:lineRule="auto"/>
        <w:ind w:left="2127"/>
        <w:jc w:val="both"/>
        <w:rPr>
          <w:rFonts w:ascii="HelveticaNeueLT Pro 55 Roman" w:hAnsi="HelveticaNeueLT Pro 55 Roman" w:cs="Times New Roman"/>
          <w:b/>
          <w:sz w:val="24"/>
          <w:szCs w:val="24"/>
        </w:rPr>
      </w:pPr>
    </w:p>
    <w:p w:rsidR="0026153F" w:rsidRDefault="0026153F" w:rsidP="00066F5F">
      <w:pPr>
        <w:spacing w:line="360" w:lineRule="auto"/>
        <w:ind w:left="2127"/>
        <w:jc w:val="both"/>
        <w:rPr>
          <w:rFonts w:ascii="HelveticaNeueLT Pro 55 Roman" w:hAnsi="HelveticaNeueLT Pro 55 Roman" w:cs="Times New Roman"/>
          <w:b/>
          <w:sz w:val="24"/>
          <w:szCs w:val="24"/>
        </w:rPr>
      </w:pPr>
    </w:p>
    <w:p w:rsidR="0026153F" w:rsidRDefault="0026153F" w:rsidP="00066F5F">
      <w:pPr>
        <w:spacing w:line="360" w:lineRule="auto"/>
        <w:ind w:left="2127"/>
        <w:jc w:val="both"/>
        <w:rPr>
          <w:rFonts w:ascii="HelveticaNeueLT Pro 55 Roman" w:hAnsi="HelveticaNeueLT Pro 55 Roman" w:cs="Times New Roman"/>
          <w:b/>
          <w:sz w:val="24"/>
          <w:szCs w:val="24"/>
        </w:rPr>
      </w:pPr>
    </w:p>
    <w:p w:rsidR="0026153F" w:rsidRDefault="0026153F" w:rsidP="00066F5F">
      <w:pPr>
        <w:spacing w:line="360" w:lineRule="auto"/>
        <w:ind w:left="2127"/>
        <w:jc w:val="both"/>
        <w:rPr>
          <w:rFonts w:ascii="HelveticaNeueLT Pro 55 Roman" w:hAnsi="HelveticaNeueLT Pro 55 Roman" w:cs="Times New Roman"/>
          <w:b/>
          <w:sz w:val="24"/>
          <w:szCs w:val="24"/>
        </w:rPr>
      </w:pPr>
    </w:p>
    <w:p w:rsidR="00D5025A" w:rsidRPr="003032A5" w:rsidRDefault="00D5025A" w:rsidP="00546C85">
      <w:pPr>
        <w:spacing w:line="276" w:lineRule="auto"/>
        <w:rPr>
          <w:rFonts w:ascii="Arial" w:hAnsi="Arial" w:cs="Arial"/>
          <w:b/>
          <w:sz w:val="20"/>
        </w:rPr>
      </w:pPr>
    </w:p>
    <w:p w:rsidR="00304ACB" w:rsidRDefault="00304ACB" w:rsidP="003032A5">
      <w:pPr>
        <w:spacing w:line="360" w:lineRule="auto"/>
        <w:jc w:val="both"/>
        <w:rPr>
          <w:rFonts w:ascii="HelveticaNeueLT Pro 35 Th" w:hAnsi="HelveticaNeueLT Pro 35 Th" w:cs="Times New Roman"/>
          <w:b/>
          <w:sz w:val="24"/>
          <w:szCs w:val="24"/>
        </w:rPr>
      </w:pPr>
    </w:p>
    <w:p w:rsidR="0048545B" w:rsidRDefault="0048545B" w:rsidP="003032A5">
      <w:pPr>
        <w:spacing w:line="360" w:lineRule="auto"/>
        <w:jc w:val="both"/>
        <w:rPr>
          <w:rFonts w:ascii="HelveticaNeueLT Pro 35 Th" w:hAnsi="HelveticaNeueLT Pro 35 Th" w:cs="Times New Roman"/>
          <w:b/>
          <w:sz w:val="24"/>
          <w:szCs w:val="24"/>
        </w:rPr>
      </w:pPr>
    </w:p>
    <w:p w:rsidR="0048545B" w:rsidRDefault="0048545B" w:rsidP="003032A5">
      <w:pPr>
        <w:spacing w:line="360" w:lineRule="auto"/>
        <w:jc w:val="both"/>
        <w:rPr>
          <w:rFonts w:ascii="HelveticaNeueLT Pro 35 Th" w:hAnsi="HelveticaNeueLT Pro 35 Th" w:cs="Times New Roman"/>
          <w:b/>
          <w:sz w:val="24"/>
          <w:szCs w:val="24"/>
        </w:rPr>
      </w:pPr>
    </w:p>
    <w:p w:rsidR="0048545B" w:rsidRDefault="0048545B" w:rsidP="003032A5">
      <w:pPr>
        <w:spacing w:line="360" w:lineRule="auto"/>
        <w:jc w:val="both"/>
        <w:rPr>
          <w:rFonts w:ascii="HelveticaNeueLT Pro 35 Th" w:hAnsi="HelveticaNeueLT Pro 35 Th" w:cs="Times New Roman"/>
          <w:b/>
          <w:sz w:val="24"/>
          <w:szCs w:val="24"/>
        </w:rPr>
      </w:pPr>
    </w:p>
    <w:p w:rsidR="0048545B" w:rsidRDefault="0048545B" w:rsidP="003032A5">
      <w:pPr>
        <w:spacing w:line="360" w:lineRule="auto"/>
        <w:jc w:val="both"/>
        <w:rPr>
          <w:rFonts w:ascii="HelveticaNeueLT Pro 35 Th" w:hAnsi="HelveticaNeueLT Pro 35 Th" w:cs="Times New Roman"/>
          <w:b/>
          <w:sz w:val="24"/>
          <w:szCs w:val="24"/>
        </w:rPr>
      </w:pPr>
    </w:p>
    <w:p w:rsidR="0048545B" w:rsidRDefault="0048545B" w:rsidP="003032A5">
      <w:pPr>
        <w:spacing w:line="360" w:lineRule="auto"/>
        <w:jc w:val="both"/>
        <w:rPr>
          <w:rFonts w:ascii="HelveticaNeueLT Pro 35 Th" w:hAnsi="HelveticaNeueLT Pro 35 Th" w:cs="Times New Roman"/>
          <w:b/>
          <w:sz w:val="24"/>
          <w:szCs w:val="24"/>
        </w:rPr>
      </w:pPr>
    </w:p>
    <w:p w:rsidR="0048545B" w:rsidRDefault="0048545B" w:rsidP="003032A5">
      <w:pPr>
        <w:spacing w:line="360" w:lineRule="auto"/>
        <w:jc w:val="both"/>
        <w:rPr>
          <w:rFonts w:ascii="HelveticaNeueLT Pro 35 Th" w:hAnsi="HelveticaNeueLT Pro 35 Th" w:cs="Times New Roman"/>
          <w:b/>
          <w:sz w:val="24"/>
          <w:szCs w:val="24"/>
        </w:rPr>
      </w:pPr>
    </w:p>
    <w:p w:rsidR="0048545B" w:rsidRDefault="0048545B" w:rsidP="003032A5">
      <w:pPr>
        <w:spacing w:line="360" w:lineRule="auto"/>
        <w:jc w:val="both"/>
        <w:rPr>
          <w:rFonts w:ascii="HelveticaNeueLT Pro 35 Th" w:hAnsi="HelveticaNeueLT Pro 35 Th" w:cs="Times New Roman"/>
          <w:b/>
          <w:sz w:val="24"/>
          <w:szCs w:val="24"/>
        </w:rPr>
      </w:pPr>
    </w:p>
    <w:p w:rsidR="00C022A2" w:rsidRDefault="00C022A2" w:rsidP="003032A5">
      <w:pPr>
        <w:spacing w:line="360" w:lineRule="auto"/>
        <w:jc w:val="both"/>
        <w:rPr>
          <w:rFonts w:ascii="HelveticaNeueLT Pro 35 Th" w:hAnsi="HelveticaNeueLT Pro 35 Th" w:cs="Times New Roman"/>
          <w:b/>
          <w:sz w:val="24"/>
          <w:szCs w:val="24"/>
        </w:rPr>
      </w:pPr>
    </w:p>
    <w:p w:rsidR="00C022A2" w:rsidRPr="003032A5" w:rsidRDefault="00C022A2" w:rsidP="00C022A2">
      <w:pPr>
        <w:spacing w:line="360" w:lineRule="auto"/>
        <w:jc w:val="both"/>
        <w:rPr>
          <w:rFonts w:ascii="HelveticaNeueLT Pro 35 Th" w:hAnsi="HelveticaNeueLT Pro 35 Th" w:cs="Times New Roman"/>
          <w:b/>
          <w:sz w:val="24"/>
          <w:szCs w:val="24"/>
        </w:rPr>
      </w:pPr>
      <w:r w:rsidRPr="003032A5">
        <w:rPr>
          <w:rFonts w:ascii="HelveticaNeueLT Pro 35 Th" w:hAnsi="HelveticaNeueLT Pro 35 Th" w:cs="Times New Roman"/>
          <w:b/>
          <w:sz w:val="24"/>
          <w:szCs w:val="24"/>
        </w:rPr>
        <w:t>Kongresové centrum Praha:</w:t>
      </w:r>
    </w:p>
    <w:p w:rsidR="00677A9A" w:rsidRPr="00C022A2" w:rsidRDefault="00C022A2" w:rsidP="003032A5">
      <w:pPr>
        <w:spacing w:line="360" w:lineRule="auto"/>
        <w:jc w:val="both"/>
        <w:rPr>
          <w:rFonts w:ascii="Arial" w:hAnsi="Arial" w:cs="Arial"/>
          <w:b/>
        </w:rPr>
      </w:pPr>
      <w:r w:rsidRPr="00552305">
        <w:rPr>
          <w:rFonts w:ascii="HelveticaNeueLT Pro 35 Th" w:hAnsi="HelveticaNeueLT Pro 35 Th" w:cs="Times New Roman"/>
          <w:sz w:val="18"/>
          <w:szCs w:val="24"/>
        </w:rPr>
        <w:t>Největší kongresové centrum v České republice, které nabízí variabilní prostory pro konání rozličných akcí od malých konferencí po velké kongresy a vybavení na nejvyšší technické úrovni. Díky vynikající akustice je vhodným místem pro pořádání koncertů. Výhodou je výborná dopravní dostupnost do blízkého centra města. Součástí je i Business Centre Vyšehrad a čtyřhvězdičkový hotel Holiday Inn Prague Congress Centre s kapacitou 254 pokojů. KCP získalo certifikát EKO Gold za čerpání energie z obnovitelných zdrojů</w:t>
      </w:r>
      <w:r w:rsidRPr="00552305">
        <w:rPr>
          <w:rFonts w:ascii="HelveticaNeueLT Pro 35 Th" w:hAnsi="HelveticaNeueLT Pro 35 Th" w:cs="Times New Roman"/>
          <w:b/>
          <w:sz w:val="18"/>
          <w:szCs w:val="24"/>
        </w:rPr>
        <w:t>.</w:t>
      </w:r>
    </w:p>
    <w:p w:rsidR="00677A9A" w:rsidRDefault="00677A9A" w:rsidP="003032A5">
      <w:pPr>
        <w:spacing w:line="360" w:lineRule="auto"/>
        <w:jc w:val="both"/>
        <w:rPr>
          <w:rFonts w:ascii="HelveticaNeueLT Pro 35 Th" w:hAnsi="HelveticaNeueLT Pro 35 Th" w:cs="Times New Roman"/>
          <w:b/>
          <w:sz w:val="24"/>
          <w:szCs w:val="24"/>
        </w:rPr>
      </w:pPr>
      <w:bookmarkStart w:id="0" w:name="_GoBack"/>
      <w:bookmarkEnd w:id="0"/>
    </w:p>
    <w:sectPr w:rsidR="00677A9A" w:rsidSect="003A03E0">
      <w:headerReference w:type="even" r:id="rId8"/>
      <w:headerReference w:type="default" r:id="rId9"/>
      <w:footerReference w:type="even" r:id="rId10"/>
      <w:footerReference w:type="default" r:id="rId11"/>
      <w:headerReference w:type="first" r:id="rId12"/>
      <w:footerReference w:type="first" r:id="rId13"/>
      <w:pgSz w:w="11906" w:h="16838"/>
      <w:pgMar w:top="3402" w:right="1418" w:bottom="3403" w:left="1418" w:header="624"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2B8" w:rsidRDefault="00A822B8" w:rsidP="00A81785">
      <w:r>
        <w:separator/>
      </w:r>
    </w:p>
  </w:endnote>
  <w:endnote w:type="continuationSeparator" w:id="0">
    <w:p w:rsidR="00A822B8" w:rsidRDefault="00A822B8" w:rsidP="00A8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0F" w:rsidRDefault="00DB63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785" w:rsidRDefault="00A81785">
    <w:pPr>
      <w:pStyle w:val="Zpat"/>
    </w:pPr>
    <w:r w:rsidRPr="005A3A80">
      <w:rPr>
        <w:noProof/>
        <w:lang w:eastAsia="cs-CZ"/>
      </w:rPr>
      <mc:AlternateContent>
        <mc:Choice Requires="wps">
          <w:drawing>
            <wp:anchor distT="45720" distB="45720" distL="114300" distR="114300" simplePos="0" relativeHeight="251661312" behindDoc="0" locked="1" layoutInCell="1" allowOverlap="1" wp14:anchorId="78BB3ABD" wp14:editId="41C95966">
              <wp:simplePos x="0" y="0"/>
              <wp:positionH relativeFrom="column">
                <wp:posOffset>635</wp:posOffset>
              </wp:positionH>
              <wp:positionV relativeFrom="page">
                <wp:posOffset>8737600</wp:posOffset>
              </wp:positionV>
              <wp:extent cx="1713230" cy="1436370"/>
              <wp:effectExtent l="0" t="0" r="127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1436370"/>
                      </a:xfrm>
                      <a:prstGeom prst="rect">
                        <a:avLst/>
                      </a:prstGeom>
                      <a:solidFill>
                        <a:srgbClr val="FFFFFF"/>
                      </a:solidFill>
                      <a:ln w="9525">
                        <a:noFill/>
                        <a:miter lim="800000"/>
                        <a:headEnd/>
                        <a:tailEnd/>
                      </a:ln>
                    </wps:spPr>
                    <wps:txbx>
                      <w:txbxContent>
                        <w:p w:rsidR="00A81785" w:rsidRDefault="00A81785" w:rsidP="00A81785">
                          <w:pPr>
                            <w:jc w:val="right"/>
                            <w:rPr>
                              <w:rFonts w:ascii="Arial" w:hAnsi="Arial" w:cs="Arial"/>
                              <w:b/>
                              <w:sz w:val="14"/>
                              <w:szCs w:val="14"/>
                            </w:rPr>
                          </w:pPr>
                          <w:r w:rsidRPr="0086082B">
                            <w:rPr>
                              <w:rFonts w:ascii="Arial" w:hAnsi="Arial" w:cs="Arial"/>
                              <w:b/>
                              <w:sz w:val="14"/>
                              <w:szCs w:val="14"/>
                            </w:rPr>
                            <w:t>Kongresové centrum Praha a.s.</w:t>
                          </w:r>
                        </w:p>
                        <w:p w:rsidR="00A81785" w:rsidRDefault="00A81785" w:rsidP="00A81785">
                          <w:pPr>
                            <w:jc w:val="right"/>
                            <w:rPr>
                              <w:rFonts w:ascii="Arial" w:hAnsi="Arial" w:cs="Arial"/>
                              <w:b/>
                              <w:sz w:val="14"/>
                              <w:szCs w:val="14"/>
                            </w:rPr>
                          </w:pPr>
                        </w:p>
                        <w:p w:rsidR="00A81785" w:rsidRDefault="00A81785" w:rsidP="00A81785">
                          <w:pPr>
                            <w:jc w:val="right"/>
                            <w:rPr>
                              <w:rFonts w:ascii="Arial" w:hAnsi="Arial" w:cs="Arial"/>
                              <w:b/>
                              <w:sz w:val="14"/>
                              <w:szCs w:val="14"/>
                            </w:rPr>
                          </w:pPr>
                          <w:r>
                            <w:rPr>
                              <w:rFonts w:ascii="Arial" w:hAnsi="Arial" w:cs="Arial"/>
                              <w:b/>
                              <w:sz w:val="14"/>
                              <w:szCs w:val="14"/>
                            </w:rPr>
                            <w:t>5. května 1640/65, Nusle</w:t>
                          </w:r>
                        </w:p>
                        <w:p w:rsidR="00A81785" w:rsidRDefault="00A81785" w:rsidP="00A81785">
                          <w:pPr>
                            <w:jc w:val="right"/>
                            <w:rPr>
                              <w:rFonts w:ascii="Arial" w:hAnsi="Arial" w:cs="Arial"/>
                              <w:b/>
                              <w:sz w:val="14"/>
                              <w:szCs w:val="14"/>
                            </w:rPr>
                          </w:pPr>
                          <w:r>
                            <w:rPr>
                              <w:rFonts w:ascii="Arial" w:hAnsi="Arial" w:cs="Arial"/>
                              <w:b/>
                              <w:sz w:val="14"/>
                              <w:szCs w:val="14"/>
                            </w:rPr>
                            <w:t>140 00 Praha 4</w:t>
                          </w:r>
                        </w:p>
                        <w:p w:rsidR="00A81785" w:rsidRDefault="00A81785" w:rsidP="00A81785">
                          <w:pPr>
                            <w:jc w:val="right"/>
                            <w:rPr>
                              <w:rFonts w:ascii="Arial" w:hAnsi="Arial" w:cs="Arial"/>
                              <w:b/>
                              <w:sz w:val="14"/>
                              <w:szCs w:val="14"/>
                            </w:rPr>
                          </w:pPr>
                          <w:r>
                            <w:rPr>
                              <w:rFonts w:ascii="Arial" w:hAnsi="Arial" w:cs="Arial"/>
                              <w:b/>
                              <w:sz w:val="14"/>
                              <w:szCs w:val="14"/>
                            </w:rPr>
                            <w:t>Česká Republika</w:t>
                          </w:r>
                        </w:p>
                        <w:p w:rsidR="00A81785" w:rsidRDefault="00A81785" w:rsidP="00A81785">
                          <w:pPr>
                            <w:jc w:val="right"/>
                            <w:rPr>
                              <w:rFonts w:ascii="Arial" w:hAnsi="Arial" w:cs="Arial"/>
                              <w:b/>
                              <w:sz w:val="14"/>
                              <w:szCs w:val="14"/>
                            </w:rPr>
                          </w:pPr>
                        </w:p>
                        <w:p w:rsidR="00A81785" w:rsidRDefault="00546C85" w:rsidP="00A81785">
                          <w:pPr>
                            <w:jc w:val="right"/>
                            <w:rPr>
                              <w:rFonts w:ascii="Arial" w:hAnsi="Arial" w:cs="Arial"/>
                              <w:sz w:val="14"/>
                              <w:szCs w:val="14"/>
                            </w:rPr>
                          </w:pPr>
                          <w:r>
                            <w:rPr>
                              <w:rFonts w:ascii="Arial" w:hAnsi="Arial" w:cs="Arial"/>
                              <w:sz w:val="14"/>
                              <w:szCs w:val="14"/>
                            </w:rPr>
                            <w:t>Petra Hnátková</w:t>
                          </w:r>
                        </w:p>
                        <w:p w:rsidR="00CF10BE" w:rsidRDefault="00CF10BE" w:rsidP="00A81785">
                          <w:pPr>
                            <w:jc w:val="right"/>
                            <w:rPr>
                              <w:rFonts w:ascii="Arial" w:hAnsi="Arial" w:cs="Arial"/>
                              <w:sz w:val="14"/>
                              <w:szCs w:val="14"/>
                            </w:rPr>
                          </w:pPr>
                          <w:r>
                            <w:rPr>
                              <w:rFonts w:ascii="Arial" w:hAnsi="Arial" w:cs="Arial"/>
                              <w:sz w:val="14"/>
                              <w:szCs w:val="14"/>
                            </w:rPr>
                            <w:t>PCC PR Specialist</w:t>
                          </w:r>
                        </w:p>
                        <w:p w:rsidR="00A81785" w:rsidRDefault="00A81785" w:rsidP="00CF10BE">
                          <w:pPr>
                            <w:jc w:val="right"/>
                            <w:rPr>
                              <w:rFonts w:ascii="Arial" w:hAnsi="Arial" w:cs="Arial"/>
                              <w:sz w:val="14"/>
                              <w:szCs w:val="14"/>
                            </w:rPr>
                          </w:pPr>
                          <w:r>
                            <w:rPr>
                              <w:rFonts w:ascii="Arial" w:hAnsi="Arial" w:cs="Arial"/>
                              <w:sz w:val="14"/>
                              <w:szCs w:val="14"/>
                            </w:rPr>
                            <w:t xml:space="preserve">E-mail: </w:t>
                          </w:r>
                          <w:hyperlink r:id="rId1" w:history="1">
                            <w:r w:rsidR="00546C85" w:rsidRPr="00DE6186">
                              <w:rPr>
                                <w:rStyle w:val="Hypertextovodkaz"/>
                                <w:rFonts w:ascii="Arial" w:hAnsi="Arial" w:cs="Arial"/>
                                <w:sz w:val="14"/>
                                <w:szCs w:val="14"/>
                              </w:rPr>
                              <w:t>hnatkova@praguecc.cz</w:t>
                            </w:r>
                          </w:hyperlink>
                          <w:r w:rsidR="00546C85">
                            <w:rPr>
                              <w:rFonts w:ascii="Arial" w:hAnsi="Arial" w:cs="Arial"/>
                              <w:sz w:val="14"/>
                              <w:szCs w:val="14"/>
                            </w:rPr>
                            <w:t xml:space="preserve"> </w:t>
                          </w:r>
                        </w:p>
                        <w:p w:rsidR="00AC3993" w:rsidRPr="00CF10BE" w:rsidRDefault="00AC3993" w:rsidP="00CF10BE">
                          <w:pPr>
                            <w:jc w:val="right"/>
                            <w:rPr>
                              <w:rFonts w:ascii="Arial" w:hAnsi="Arial" w:cs="Arial"/>
                              <w:sz w:val="14"/>
                              <w:szCs w:val="14"/>
                            </w:rPr>
                          </w:pPr>
                          <w:r>
                            <w:rPr>
                              <w:rFonts w:ascii="Arial" w:hAnsi="Arial" w:cs="Arial"/>
                              <w:sz w:val="14"/>
                              <w:szCs w:val="14"/>
                            </w:rPr>
                            <w:t>www.praguecc.cz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B3ABD" id="_x0000_t202" coordsize="21600,21600" o:spt="202" path="m,l,21600r21600,l21600,xe">
              <v:stroke joinstyle="miter"/>
              <v:path gradientshapeok="t" o:connecttype="rect"/>
            </v:shapetype>
            <v:shape id="Textové pole 5" o:spid="_x0000_s1026" type="#_x0000_t202" style="position:absolute;margin-left:.05pt;margin-top:688pt;width:134.9pt;height:11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" stroked="f">
              <v:textbox>
                <w:txbxContent>
                  <w:p w:rsidR="00A81785" w:rsidRDefault="00A81785" w:rsidP="00A81785">
                    <w:pPr>
                      <w:jc w:val="right"/>
                      <w:rPr>
                        <w:rFonts w:ascii="Arial" w:hAnsi="Arial" w:cs="Arial"/>
                        <w:b/>
                        <w:sz w:val="14"/>
                        <w:szCs w:val="14"/>
                      </w:rPr>
                    </w:pPr>
                    <w:r w:rsidRPr="0086082B">
                      <w:rPr>
                        <w:rFonts w:ascii="Arial" w:hAnsi="Arial" w:cs="Arial"/>
                        <w:b/>
                        <w:sz w:val="14"/>
                        <w:szCs w:val="14"/>
                      </w:rPr>
                      <w:t>Kongresové centrum Praha a.s.</w:t>
                    </w:r>
                  </w:p>
                  <w:p w:rsidR="00A81785" w:rsidRDefault="00A81785" w:rsidP="00A81785">
                    <w:pPr>
                      <w:jc w:val="right"/>
                      <w:rPr>
                        <w:rFonts w:ascii="Arial" w:hAnsi="Arial" w:cs="Arial"/>
                        <w:b/>
                        <w:sz w:val="14"/>
                        <w:szCs w:val="14"/>
                      </w:rPr>
                    </w:pPr>
                  </w:p>
                  <w:p w:rsidR="00A81785" w:rsidRDefault="00A81785" w:rsidP="00A81785">
                    <w:pPr>
                      <w:jc w:val="right"/>
                      <w:rPr>
                        <w:rFonts w:ascii="Arial" w:hAnsi="Arial" w:cs="Arial"/>
                        <w:b/>
                        <w:sz w:val="14"/>
                        <w:szCs w:val="14"/>
                      </w:rPr>
                    </w:pPr>
                    <w:r>
                      <w:rPr>
                        <w:rFonts w:ascii="Arial" w:hAnsi="Arial" w:cs="Arial"/>
                        <w:b/>
                        <w:sz w:val="14"/>
                        <w:szCs w:val="14"/>
                      </w:rPr>
                      <w:t>5. května 1640/65, Nusle</w:t>
                    </w:r>
                  </w:p>
                  <w:p w:rsidR="00A81785" w:rsidRDefault="00A81785" w:rsidP="00A81785">
                    <w:pPr>
                      <w:jc w:val="right"/>
                      <w:rPr>
                        <w:rFonts w:ascii="Arial" w:hAnsi="Arial" w:cs="Arial"/>
                        <w:b/>
                        <w:sz w:val="14"/>
                        <w:szCs w:val="14"/>
                      </w:rPr>
                    </w:pPr>
                    <w:r>
                      <w:rPr>
                        <w:rFonts w:ascii="Arial" w:hAnsi="Arial" w:cs="Arial"/>
                        <w:b/>
                        <w:sz w:val="14"/>
                        <w:szCs w:val="14"/>
                      </w:rPr>
                      <w:t>140 00 Praha 4</w:t>
                    </w:r>
                  </w:p>
                  <w:p w:rsidR="00A81785" w:rsidRDefault="00A81785" w:rsidP="00A81785">
                    <w:pPr>
                      <w:jc w:val="right"/>
                      <w:rPr>
                        <w:rFonts w:ascii="Arial" w:hAnsi="Arial" w:cs="Arial"/>
                        <w:b/>
                        <w:sz w:val="14"/>
                        <w:szCs w:val="14"/>
                      </w:rPr>
                    </w:pPr>
                    <w:r>
                      <w:rPr>
                        <w:rFonts w:ascii="Arial" w:hAnsi="Arial" w:cs="Arial"/>
                        <w:b/>
                        <w:sz w:val="14"/>
                        <w:szCs w:val="14"/>
                      </w:rPr>
                      <w:t>Česká Republika</w:t>
                    </w:r>
                  </w:p>
                  <w:p w:rsidR="00A81785" w:rsidRDefault="00A81785" w:rsidP="00A81785">
                    <w:pPr>
                      <w:jc w:val="right"/>
                      <w:rPr>
                        <w:rFonts w:ascii="Arial" w:hAnsi="Arial" w:cs="Arial"/>
                        <w:b/>
                        <w:sz w:val="14"/>
                        <w:szCs w:val="14"/>
                      </w:rPr>
                    </w:pPr>
                  </w:p>
                  <w:p w:rsidR="00A81785" w:rsidRDefault="00546C85" w:rsidP="00A81785">
                    <w:pPr>
                      <w:jc w:val="right"/>
                      <w:rPr>
                        <w:rFonts w:ascii="Arial" w:hAnsi="Arial" w:cs="Arial"/>
                        <w:sz w:val="14"/>
                        <w:szCs w:val="14"/>
                      </w:rPr>
                    </w:pPr>
                    <w:r>
                      <w:rPr>
                        <w:rFonts w:ascii="Arial" w:hAnsi="Arial" w:cs="Arial"/>
                        <w:sz w:val="14"/>
                        <w:szCs w:val="14"/>
                      </w:rPr>
                      <w:t>Petra Hnátková</w:t>
                    </w:r>
                  </w:p>
                  <w:p w:rsidR="00CF10BE" w:rsidRDefault="00CF10BE" w:rsidP="00A81785">
                    <w:pPr>
                      <w:jc w:val="right"/>
                      <w:rPr>
                        <w:rFonts w:ascii="Arial" w:hAnsi="Arial" w:cs="Arial"/>
                        <w:sz w:val="14"/>
                        <w:szCs w:val="14"/>
                      </w:rPr>
                    </w:pPr>
                    <w:r>
                      <w:rPr>
                        <w:rFonts w:ascii="Arial" w:hAnsi="Arial" w:cs="Arial"/>
                        <w:sz w:val="14"/>
                        <w:szCs w:val="14"/>
                      </w:rPr>
                      <w:t>PCC PR Specialist</w:t>
                    </w:r>
                  </w:p>
                  <w:p w:rsidR="00A81785" w:rsidRDefault="00A81785" w:rsidP="00CF10BE">
                    <w:pPr>
                      <w:jc w:val="right"/>
                      <w:rPr>
                        <w:rFonts w:ascii="Arial" w:hAnsi="Arial" w:cs="Arial"/>
                        <w:sz w:val="14"/>
                        <w:szCs w:val="14"/>
                      </w:rPr>
                    </w:pPr>
                    <w:r>
                      <w:rPr>
                        <w:rFonts w:ascii="Arial" w:hAnsi="Arial" w:cs="Arial"/>
                        <w:sz w:val="14"/>
                        <w:szCs w:val="14"/>
                      </w:rPr>
                      <w:t xml:space="preserve">E-mail: </w:t>
                    </w:r>
                    <w:hyperlink r:id="rId2" w:history="1">
                      <w:r w:rsidR="00546C85" w:rsidRPr="00DE6186">
                        <w:rPr>
                          <w:rStyle w:val="Hypertextovodkaz"/>
                          <w:rFonts w:ascii="Arial" w:hAnsi="Arial" w:cs="Arial"/>
                          <w:sz w:val="14"/>
                          <w:szCs w:val="14"/>
                        </w:rPr>
                        <w:t>hnatkova@praguecc.cz</w:t>
                      </w:r>
                    </w:hyperlink>
                    <w:r w:rsidR="00546C85">
                      <w:rPr>
                        <w:rFonts w:ascii="Arial" w:hAnsi="Arial" w:cs="Arial"/>
                        <w:sz w:val="14"/>
                        <w:szCs w:val="14"/>
                      </w:rPr>
                      <w:t xml:space="preserve"> </w:t>
                    </w:r>
                  </w:p>
                  <w:p w:rsidR="00AC3993" w:rsidRPr="00CF10BE" w:rsidRDefault="00AC3993" w:rsidP="00CF10BE">
                    <w:pPr>
                      <w:jc w:val="right"/>
                      <w:rPr>
                        <w:rFonts w:ascii="Arial" w:hAnsi="Arial" w:cs="Arial"/>
                        <w:sz w:val="14"/>
                        <w:szCs w:val="14"/>
                      </w:rPr>
                    </w:pPr>
                    <w:r>
                      <w:rPr>
                        <w:rFonts w:ascii="Arial" w:hAnsi="Arial" w:cs="Arial"/>
                        <w:sz w:val="14"/>
                        <w:szCs w:val="14"/>
                      </w:rPr>
                      <w:t>www.praguecc.cz</w:t>
                    </w:r>
                  </w:p>
                </w:txbxContent>
              </v:textbox>
              <w10:wrap type="squar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0F" w:rsidRDefault="00DB63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2B8" w:rsidRDefault="00A822B8" w:rsidP="00A81785">
      <w:r>
        <w:separator/>
      </w:r>
    </w:p>
  </w:footnote>
  <w:footnote w:type="continuationSeparator" w:id="0">
    <w:p w:rsidR="00A822B8" w:rsidRDefault="00A822B8" w:rsidP="00A8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0F" w:rsidRDefault="00DB63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785" w:rsidRDefault="00A81785" w:rsidP="00CF10BE">
    <w:pPr>
      <w:pStyle w:val="Zhlav"/>
      <w:tabs>
        <w:tab w:val="clear" w:pos="4536"/>
      </w:tabs>
    </w:pPr>
    <w:r w:rsidRPr="005A3A80">
      <w:rPr>
        <w:noProof/>
        <w:lang w:eastAsia="cs-CZ"/>
      </w:rPr>
      <w:drawing>
        <wp:anchor distT="0" distB="0" distL="114300" distR="114300" simplePos="0" relativeHeight="251663360" behindDoc="1" locked="0" layoutInCell="1" allowOverlap="1" wp14:anchorId="29430DE3" wp14:editId="0C789522">
          <wp:simplePos x="0" y="0"/>
          <wp:positionH relativeFrom="column">
            <wp:posOffset>2627176</wp:posOffset>
          </wp:positionH>
          <wp:positionV relativeFrom="page">
            <wp:posOffset>5133703</wp:posOffset>
          </wp:positionV>
          <wp:extent cx="4000500" cy="5648325"/>
          <wp:effectExtent l="0" t="0" r="0" b="9525"/>
          <wp:wrapNone/>
          <wp:docPr id="114" name="Obrázek 114" descr="E:\Re-Branding\Fast and Simple\PCC_CORPORATE_IDENTITY_GUIDE\PCC_CORPORATE_IDENTITY_GUIDE\2_INTERNI_MATERIALY\hlavickovy papir - sipky do wor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Branding\Fast and Simple\PCC_CORPORATE_IDENTITY_GUIDE\PCC_CORPORATE_IDENTITY_GUIDE\2_INTERNI_MATERIALY\hlavickovy papir - sipky do word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5648325"/>
                  </a:xfrm>
                  <a:prstGeom prst="rect">
                    <a:avLst/>
                  </a:prstGeom>
                  <a:noFill/>
                  <a:ln>
                    <a:noFill/>
                  </a:ln>
                </pic:spPr>
              </pic:pic>
            </a:graphicData>
          </a:graphic>
        </wp:anchor>
      </w:drawing>
    </w:r>
    <w:r w:rsidRPr="00C231EE">
      <w:rPr>
        <w:noProof/>
        <w:lang w:eastAsia="cs-CZ"/>
      </w:rPr>
      <w:drawing>
        <wp:anchor distT="0" distB="0" distL="114300" distR="114300" simplePos="0" relativeHeight="251659264" behindDoc="1" locked="0" layoutInCell="1" allowOverlap="1" wp14:anchorId="7B4D0964" wp14:editId="556E4161">
          <wp:simplePos x="0" y="0"/>
          <wp:positionH relativeFrom="column">
            <wp:posOffset>-230142</wp:posOffset>
          </wp:positionH>
          <wp:positionV relativeFrom="page">
            <wp:posOffset>676003</wp:posOffset>
          </wp:positionV>
          <wp:extent cx="1771015" cy="1342390"/>
          <wp:effectExtent l="0" t="0" r="0" b="0"/>
          <wp:wrapNone/>
          <wp:docPr id="115" name="Obrázek 115" descr="E:\Re-Branding\Fast and Simple\PCC_CORPORATE_IDENTITY_GUIDE\PCC_CORPORATE_IDENTITY_GUIDE\1_LOGO\1_01_Logo_Ctvercova_varianta\1_0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Branding\Fast and Simple\PCC_CORPORATE_IDENTITY_GUIDE\PCC_CORPORATE_IDENTITY_GUIDE\1_LOGO\1_01_Logo_Ctvercova_varianta\1_01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71015"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0F" w:rsidRDefault="00DB630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85"/>
    <w:rsid w:val="00040841"/>
    <w:rsid w:val="00066F5F"/>
    <w:rsid w:val="00067CA4"/>
    <w:rsid w:val="00084DA9"/>
    <w:rsid w:val="000A43A0"/>
    <w:rsid w:val="000A5D93"/>
    <w:rsid w:val="000B5B4B"/>
    <w:rsid w:val="000C0364"/>
    <w:rsid w:val="00117D10"/>
    <w:rsid w:val="00135CA3"/>
    <w:rsid w:val="00180A89"/>
    <w:rsid w:val="00185DE8"/>
    <w:rsid w:val="001B1F68"/>
    <w:rsid w:val="002439CD"/>
    <w:rsid w:val="0026153F"/>
    <w:rsid w:val="00274A12"/>
    <w:rsid w:val="00287E7E"/>
    <w:rsid w:val="003032A5"/>
    <w:rsid w:val="00304ACB"/>
    <w:rsid w:val="003437AA"/>
    <w:rsid w:val="00352FF3"/>
    <w:rsid w:val="00384988"/>
    <w:rsid w:val="003A03E0"/>
    <w:rsid w:val="003E55F7"/>
    <w:rsid w:val="00400B8F"/>
    <w:rsid w:val="0042348C"/>
    <w:rsid w:val="00464673"/>
    <w:rsid w:val="00466A84"/>
    <w:rsid w:val="0048545B"/>
    <w:rsid w:val="00491C65"/>
    <w:rsid w:val="004C5137"/>
    <w:rsid w:val="004D1578"/>
    <w:rsid w:val="004D43AF"/>
    <w:rsid w:val="004E49BA"/>
    <w:rsid w:val="00501D8E"/>
    <w:rsid w:val="00502ED9"/>
    <w:rsid w:val="005031B5"/>
    <w:rsid w:val="00546C85"/>
    <w:rsid w:val="00552305"/>
    <w:rsid w:val="00573B2D"/>
    <w:rsid w:val="005B1638"/>
    <w:rsid w:val="005E1DE1"/>
    <w:rsid w:val="00620112"/>
    <w:rsid w:val="0064175C"/>
    <w:rsid w:val="00677A9A"/>
    <w:rsid w:val="006F3A3F"/>
    <w:rsid w:val="00706307"/>
    <w:rsid w:val="0072066D"/>
    <w:rsid w:val="00731347"/>
    <w:rsid w:val="00762876"/>
    <w:rsid w:val="00770ADA"/>
    <w:rsid w:val="007A650A"/>
    <w:rsid w:val="007D7E40"/>
    <w:rsid w:val="007E27E4"/>
    <w:rsid w:val="0081235F"/>
    <w:rsid w:val="00822383"/>
    <w:rsid w:val="0088185F"/>
    <w:rsid w:val="00890A4E"/>
    <w:rsid w:val="008E7668"/>
    <w:rsid w:val="009216FD"/>
    <w:rsid w:val="00986BFA"/>
    <w:rsid w:val="009B26D3"/>
    <w:rsid w:val="009D3E57"/>
    <w:rsid w:val="009E163A"/>
    <w:rsid w:val="009E5FC7"/>
    <w:rsid w:val="00A01827"/>
    <w:rsid w:val="00A81785"/>
    <w:rsid w:val="00A822B8"/>
    <w:rsid w:val="00AB6B7D"/>
    <w:rsid w:val="00AC3993"/>
    <w:rsid w:val="00AD76D5"/>
    <w:rsid w:val="00B03DF4"/>
    <w:rsid w:val="00B30755"/>
    <w:rsid w:val="00BD3E5C"/>
    <w:rsid w:val="00BE5CA4"/>
    <w:rsid w:val="00C022A2"/>
    <w:rsid w:val="00C12F58"/>
    <w:rsid w:val="00C742D6"/>
    <w:rsid w:val="00CC748F"/>
    <w:rsid w:val="00CE4E65"/>
    <w:rsid w:val="00CF10BE"/>
    <w:rsid w:val="00D10669"/>
    <w:rsid w:val="00D40F12"/>
    <w:rsid w:val="00D5025A"/>
    <w:rsid w:val="00D70339"/>
    <w:rsid w:val="00D8505A"/>
    <w:rsid w:val="00DB630F"/>
    <w:rsid w:val="00EA444A"/>
    <w:rsid w:val="00EA4EDB"/>
    <w:rsid w:val="00ED5EC9"/>
    <w:rsid w:val="00EF0A71"/>
    <w:rsid w:val="00FB346E"/>
    <w:rsid w:val="00FD5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9CC8E"/>
  <w15:chartTrackingRefBased/>
  <w15:docId w15:val="{EF30AF88-EDF5-4D9E-944A-0662907F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50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81785"/>
    <w:pPr>
      <w:tabs>
        <w:tab w:val="center" w:pos="4536"/>
        <w:tab w:val="right" w:pos="9072"/>
      </w:tabs>
    </w:pPr>
  </w:style>
  <w:style w:type="character" w:customStyle="1" w:styleId="ZhlavChar">
    <w:name w:val="Záhlaví Char"/>
    <w:basedOn w:val="Standardnpsmoodstavce"/>
    <w:link w:val="Zhlav"/>
    <w:uiPriority w:val="99"/>
    <w:rsid w:val="00A81785"/>
  </w:style>
  <w:style w:type="paragraph" w:styleId="Zpat">
    <w:name w:val="footer"/>
    <w:basedOn w:val="Normln"/>
    <w:link w:val="ZpatChar"/>
    <w:uiPriority w:val="99"/>
    <w:unhideWhenUsed/>
    <w:rsid w:val="00A81785"/>
    <w:pPr>
      <w:tabs>
        <w:tab w:val="center" w:pos="4536"/>
        <w:tab w:val="right" w:pos="9072"/>
      </w:tabs>
    </w:pPr>
  </w:style>
  <w:style w:type="character" w:customStyle="1" w:styleId="ZpatChar">
    <w:name w:val="Zápatí Char"/>
    <w:basedOn w:val="Standardnpsmoodstavce"/>
    <w:link w:val="Zpat"/>
    <w:uiPriority w:val="99"/>
    <w:rsid w:val="00A81785"/>
  </w:style>
  <w:style w:type="character" w:styleId="Hypertextovodkaz">
    <w:name w:val="Hyperlink"/>
    <w:basedOn w:val="Standardnpsmoodstavce"/>
    <w:uiPriority w:val="99"/>
    <w:unhideWhenUsed/>
    <w:rsid w:val="00A81785"/>
    <w:rPr>
      <w:color w:val="0563C1" w:themeColor="hyperlink"/>
      <w:u w:val="single"/>
    </w:rPr>
  </w:style>
  <w:style w:type="character" w:styleId="Siln">
    <w:name w:val="Strong"/>
    <w:basedOn w:val="Standardnpsmoodstavce"/>
    <w:uiPriority w:val="22"/>
    <w:qFormat/>
    <w:rsid w:val="00D5025A"/>
    <w:rPr>
      <w:b/>
      <w:bCs/>
    </w:rPr>
  </w:style>
  <w:style w:type="paragraph" w:styleId="Textbubliny">
    <w:name w:val="Balloon Text"/>
    <w:basedOn w:val="Normln"/>
    <w:link w:val="TextbublinyChar"/>
    <w:uiPriority w:val="99"/>
    <w:semiHidden/>
    <w:unhideWhenUsed/>
    <w:rsid w:val="00AB6B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6B7D"/>
    <w:rPr>
      <w:rFonts w:ascii="Segoe UI" w:hAnsi="Segoe UI" w:cs="Segoe UI"/>
      <w:sz w:val="18"/>
      <w:szCs w:val="18"/>
    </w:rPr>
  </w:style>
  <w:style w:type="paragraph" w:styleId="Revize">
    <w:name w:val="Revision"/>
    <w:hidden/>
    <w:uiPriority w:val="99"/>
    <w:semiHidden/>
    <w:rsid w:val="00066F5F"/>
  </w:style>
  <w:style w:type="character" w:styleId="Zdraznn">
    <w:name w:val="Emphasis"/>
    <w:basedOn w:val="Standardnpsmoodstavce"/>
    <w:uiPriority w:val="20"/>
    <w:qFormat/>
    <w:rsid w:val="00DB630F"/>
    <w:rPr>
      <w:i/>
      <w:iCs/>
    </w:rPr>
  </w:style>
  <w:style w:type="character" w:customStyle="1" w:styleId="Nevyeenzmnka1">
    <w:name w:val="Nevyřešená zmínka1"/>
    <w:basedOn w:val="Standardnpsmoodstavce"/>
    <w:uiPriority w:val="99"/>
    <w:semiHidden/>
    <w:unhideWhenUsed/>
    <w:rsid w:val="00546C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idovky.cz/navrh-nove-budovy-kongresaku-vede-pres-pozemky-o-ktere-se-vlece-soud-podle-opozice-je-nerealizov-iz3-/zpravy-domov.aspx?c=A180221_183346_ln_domov_el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hnatkova@praguecc.cz" TargetMode="External"/><Relationship Id="rId1" Type="http://schemas.openxmlformats.org/officeDocument/2006/relationships/hyperlink" Target="mailto:hnatkova@praguecc.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FAB1-1FAC-418A-8F22-978B1D66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464</Words>
  <Characters>2741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Holecka</dc:creator>
  <cp:keywords/>
  <dc:description/>
  <cp:lastModifiedBy>Petra Hnátková</cp:lastModifiedBy>
  <cp:revision>6</cp:revision>
  <cp:lastPrinted>2017-11-13T12:58:00Z</cp:lastPrinted>
  <dcterms:created xsi:type="dcterms:W3CDTF">2018-02-26T14:58:00Z</dcterms:created>
  <dcterms:modified xsi:type="dcterms:W3CDTF">2018-02-26T15:10:00Z</dcterms:modified>
</cp:coreProperties>
</file>